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lineRule="auto" w:line="276" w:before="113" w:after="113"/>
        <w:ind w:left="0"/>
        <w:jc w:val="center"/>
        <w:rPr>
          <w:rFonts w:ascii="Verdana" w:hAnsi="Verdana"/>
          <w:sz w:val="20"/>
          <w:szCs w:val="20"/>
        </w:rPr>
      </w:pPr>
      <w:r>
        <w:rPr>
          <w:rFonts w:ascii="Verdana" w:hAnsi="Verdana"/>
          <w:color w:val="000000"/>
          <w:sz w:val="20"/>
          <w:szCs w:val="20"/>
        </w:rPr>
        <w:t>ESTUDO TÉCNICO PRELIMINAR Nº 73/2024</w:t>
      </w:r>
    </w:p>
    <w:p>
      <w:pPr>
        <w:pStyle w:val="BodyText"/>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INTRODUÇÃO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REGISTRO DE PREÇOS DE GÊNEROS ALIMENTÍCIOS PARA O ABRIGO LUZ </w:t>
      </w:r>
    </w:p>
    <w:p>
      <w:pPr>
        <w:pStyle w:val="Heading4"/>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1. DESCRIÇÃO DA NECESSIDADE</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contratação do objeto REGISTRO DE PREÇOS DE GÊNEROS ALIMENTÍCIOS PARA O ABRIGO LUZ é de extrema importância para garantir a qualidade de vida e o bem-estar dos indivíduos que dependem dos serviços prestados por essa instituição.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O Abrigo Luz é uma entidade que acolhe e cuida de crianças e adolescentes em situação de vulnerabilidade social, oferecendo abrigo, alimentação, assistência psicológica e social, entre outros serviços. Para garantir a eficiência e a continuidade dessas atividades, é essencial que haja um fornecimento regular e de qualidade de gêneros alimentícios.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Através da contratação do registro de preços, será possível estabelecer uma parceria com fornecedores confiáveis e competitivos, garantindo assim um melhor controle de custos e uma maior eficiência na gestão dos recursos destinados à alimentação dos acolhidos.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Além disso, ao obter os alimentos por meio de um sistema de registro de preços, o Abrigo Luz poderá garantir a oferta de uma alimentação balanceada e adequada às necessidades nutricionais dos assistidos, promovendo assim a saúde e o bem-estar dessas pessoas.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Dessa forma, a contratação do objeto REGISTRO DE PREÇOS DE GÊNEROS ALIMENTÍCIOS PARA O ABRIGO LUZ é uma medida que atende ao interesse público, assegurando a continuidade e a qualidade dos serviços oferecidos por essa instituição e contribuindo para o cuidado e a proteção dos mais vulneráveis em nossa sociedade. </w:t>
      </w:r>
    </w:p>
    <w:p>
      <w:pPr>
        <w:pStyle w:val="Heading4"/>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2. PREVISÃO NO PLANO DE CONTRATAÇÃO ANUAL</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O plano de contratação anual é uma ferramenta estratégica fundamental para a gestão eficiente dos recursos públicos. Ele delineia as necessidades de contratação e aquisição de bens e serviços ao longo do ano, alinhando-se com os objetivos e diretrizes da administração pública. Sua elaboração envolve análises detalhadas das demandas, avaliação de orçamentos, alinhamento com as políticas públicas e consideração dos impactos nas áreas de atuação do governo. Assim, o plano de contratação anual não apenas organiza as aquisições, mas também direciona esforços para promover a melhor aplicação dos recursos em prol do interesse público.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Vale ressaltar que a inclusão deste objeto no plano de contratações anual é reflexo do compromisso estratégico da Administração em direcionar recursos para iniciativas que promovam o desenvolvimento econômico, social e sustentável.</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Ao alinhar essa contratação com o planejamento anual, a Administração reforça sua visão estratégica, que busca não apenas resolver problemas imediatos, mas estabelecer bases sólidas para um progresso contínuo. Essa estratégia demonstra um comprometimento com a eficiência na gestão pública, ao assegurar que os recursos sejam alocados de forma a maximizar os benefícios para a população.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O planejamento cuidadoso e o alinhamento desta contratação com os objetivos da Administração revelam uma abordagem proativa e responsável, na qual as ações são pensadas para impactar positivamente a vida dos cidadãos. Esse alinhamento é um indicativo do compromisso contínuo em atender às demandas da sociedade de maneira ética, transparente e alinhada com os propósitos estabelecidos para a gestão pública.</w:t>
      </w:r>
    </w:p>
    <w:p>
      <w:pPr>
        <w:pStyle w:val="Heading4"/>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3. REQUISITOS DA CONTRATAÇÃO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Para atender adequadamente o objeto REGISTRO DE PREÇOS DE GÊNEROS ALIMENTÍCIOS PARA O ABRIGO LUZ, os requisitos que devem constar na solução são os seguintes:</w:t>
      </w:r>
    </w:p>
    <w:p>
      <w:pPr>
        <w:pStyle w:val="BodyText"/>
        <w:widowControl w:val="false"/>
        <w:suppressAutoHyphens w:val="true"/>
        <w:bidi w:val="0"/>
        <w:spacing w:lineRule="auto" w:line="276" w:before="113" w:after="113"/>
        <w:ind w:hanging="0" w:left="567" w:right="0"/>
        <w:jc w:val="both"/>
        <w:rPr>
          <w:rFonts w:ascii="Verdana" w:hAnsi="Verdana"/>
          <w:sz w:val="20"/>
          <w:szCs w:val="20"/>
        </w:rPr>
      </w:pPr>
      <w:r>
        <w:rPr>
          <w:rFonts w:ascii="Verdana" w:hAnsi="Verdana"/>
          <w:b/>
          <w:bCs/>
          <w:color w:val="000000"/>
          <w:sz w:val="20"/>
          <w:szCs w:val="20"/>
        </w:rPr>
        <w:t>1. Variedade de alimentos:</w:t>
      </w:r>
      <w:r>
        <w:rPr>
          <w:rFonts w:ascii="Verdana" w:hAnsi="Verdana"/>
          <w:color w:val="000000"/>
          <w:sz w:val="20"/>
          <w:szCs w:val="20"/>
        </w:rPr>
        <w:t xml:space="preserve"> A solução deve contemplar uma variedade de gêneros alimentícios para atender às necessidades nutricionais dos moradores do Abrigo Luz. Isso inclui produtos perecíveis e não perecíveis, como cereais, carnes, laticínios, entre outros.</w:t>
      </w:r>
    </w:p>
    <w:p>
      <w:pPr>
        <w:pStyle w:val="BodyText"/>
        <w:widowControl w:val="false"/>
        <w:suppressAutoHyphens w:val="true"/>
        <w:bidi w:val="0"/>
        <w:spacing w:lineRule="auto" w:line="276" w:before="113" w:after="113"/>
        <w:ind w:hanging="0" w:left="567" w:right="0"/>
        <w:jc w:val="both"/>
        <w:rPr>
          <w:rFonts w:ascii="Verdana" w:hAnsi="Verdana"/>
          <w:sz w:val="20"/>
          <w:szCs w:val="20"/>
        </w:rPr>
      </w:pPr>
      <w:r>
        <w:rPr>
          <w:rFonts w:ascii="Verdana" w:hAnsi="Verdana"/>
          <w:b/>
          <w:bCs/>
          <w:color w:val="000000"/>
          <w:sz w:val="20"/>
          <w:szCs w:val="20"/>
        </w:rPr>
        <w:t>2. Qualidade dos produtos:</w:t>
      </w:r>
      <w:r>
        <w:rPr>
          <w:rFonts w:ascii="Verdana" w:hAnsi="Verdana"/>
          <w:color w:val="000000"/>
          <w:sz w:val="20"/>
          <w:szCs w:val="20"/>
        </w:rPr>
        <w:t xml:space="preserve"> Os alimentos devem ser de qualidade, frescos e próprios para o consumo humano. É essencial que os fornecedores cumpram com as normas de segurança alimentar e higiene.</w:t>
      </w:r>
    </w:p>
    <w:p>
      <w:pPr>
        <w:pStyle w:val="BodyText"/>
        <w:widowControl w:val="false"/>
        <w:suppressAutoHyphens w:val="true"/>
        <w:bidi w:val="0"/>
        <w:spacing w:lineRule="auto" w:line="276" w:before="113" w:after="113"/>
        <w:ind w:hanging="0" w:left="567" w:right="0"/>
        <w:jc w:val="both"/>
        <w:rPr>
          <w:rFonts w:ascii="Verdana" w:hAnsi="Verdana"/>
          <w:sz w:val="20"/>
          <w:szCs w:val="20"/>
        </w:rPr>
      </w:pPr>
      <w:r>
        <w:rPr>
          <w:rFonts w:ascii="Verdana" w:hAnsi="Verdana"/>
          <w:b/>
          <w:bCs/>
          <w:color w:val="000000"/>
          <w:sz w:val="20"/>
          <w:szCs w:val="20"/>
        </w:rPr>
        <w:t>3. Preços competitivos:</w:t>
      </w:r>
      <w:r>
        <w:rPr>
          <w:rFonts w:ascii="Verdana" w:hAnsi="Verdana"/>
          <w:color w:val="000000"/>
          <w:sz w:val="20"/>
          <w:szCs w:val="20"/>
        </w:rPr>
        <w:t xml:space="preserve"> A solução deve garantir preços competitivos para os produtos alimentícios, de forma a proporcionar economia para o Abrigo Luz e garantir a sustentabilidade financeira da instituição.</w:t>
      </w:r>
    </w:p>
    <w:p>
      <w:pPr>
        <w:pStyle w:val="BodyText"/>
        <w:widowControl w:val="false"/>
        <w:suppressAutoHyphens w:val="true"/>
        <w:bidi w:val="0"/>
        <w:spacing w:lineRule="auto" w:line="276" w:before="113" w:after="113"/>
        <w:ind w:hanging="0" w:left="567" w:right="0"/>
        <w:jc w:val="both"/>
        <w:rPr>
          <w:rFonts w:ascii="Verdana" w:hAnsi="Verdana"/>
          <w:sz w:val="20"/>
          <w:szCs w:val="20"/>
        </w:rPr>
      </w:pPr>
      <w:r>
        <w:rPr>
          <w:rFonts w:ascii="Verdana" w:hAnsi="Verdana"/>
          <w:b/>
          <w:bCs/>
          <w:color w:val="000000"/>
          <w:sz w:val="20"/>
          <w:szCs w:val="20"/>
        </w:rPr>
        <w:t>4. Logística eficiente:</w:t>
      </w:r>
      <w:r>
        <w:rPr>
          <w:rFonts w:ascii="Verdana" w:hAnsi="Verdana"/>
          <w:color w:val="000000"/>
          <w:sz w:val="20"/>
          <w:szCs w:val="20"/>
        </w:rPr>
        <w:t xml:space="preserve"> A entrega dos alimentos deve ser feita de forma eficiente e pontual, assegurando que não haja interrupções no abastecimento do abrigo.</w:t>
      </w:r>
    </w:p>
    <w:p>
      <w:pPr>
        <w:pStyle w:val="BodyText"/>
        <w:widowControl w:val="false"/>
        <w:suppressAutoHyphens w:val="true"/>
        <w:bidi w:val="0"/>
        <w:spacing w:lineRule="auto" w:line="276" w:before="113" w:after="113"/>
        <w:ind w:hanging="0" w:left="567" w:right="0"/>
        <w:jc w:val="both"/>
        <w:rPr>
          <w:rFonts w:ascii="Verdana" w:hAnsi="Verdana"/>
          <w:sz w:val="20"/>
          <w:szCs w:val="20"/>
        </w:rPr>
      </w:pPr>
      <w:r>
        <w:rPr>
          <w:rFonts w:ascii="Verdana" w:hAnsi="Verdana"/>
          <w:b/>
          <w:bCs/>
          <w:color w:val="000000"/>
          <w:sz w:val="20"/>
          <w:szCs w:val="20"/>
        </w:rPr>
        <w:t>5. Atendimento personalizado:</w:t>
      </w:r>
      <w:r>
        <w:rPr>
          <w:rFonts w:ascii="Verdana" w:hAnsi="Verdana"/>
          <w:color w:val="000000"/>
          <w:sz w:val="20"/>
          <w:szCs w:val="20"/>
        </w:rPr>
        <w:t xml:space="preserve"> É importante que os fornecedores ofereçam um atendimento personalizado, atendendo às necessidades específicas do Abrigo Luz e garantindo a satisfação dos usuários.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Com esses requisitos, será possível garantir uma solução completa e eficiente para o registro de preços de gêneros alimentícios para o Abrigo Luz, contribuindo para o bem-estar e qualidade de vida dos moradores da instituição. </w:t>
      </w:r>
    </w:p>
    <w:p>
      <w:pPr>
        <w:pStyle w:val="BodyText"/>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5. ESTIMATIVA DAS QUANTIDADES </w:t>
      </w:r>
    </w:p>
    <w:p>
      <w:pPr>
        <w:pStyle w:val="Normal"/>
        <w:suppressAutoHyphens w:val="false"/>
        <w:bidi w:val="0"/>
        <w:spacing w:lineRule="auto" w:line="276" w:before="113" w:after="113"/>
        <w:ind w:left="0"/>
        <w:jc w:val="both"/>
        <w:rPr>
          <w:rFonts w:ascii="Verdana" w:hAnsi="Verdana"/>
          <w:sz w:val="20"/>
          <w:szCs w:val="20"/>
        </w:rPr>
      </w:pPr>
      <w:r>
        <w:rPr>
          <w:rFonts w:cs="Arial" w:ascii="Verdana" w:hAnsi="Verdana"/>
          <w:color w:val="000000"/>
          <w:sz w:val="20"/>
          <w:szCs w:val="20"/>
          <w:shd w:fill="auto" w:val="clear"/>
        </w:rPr>
        <w:t xml:space="preserve">A relação dos itens necessários para contemplar a solução da demanda, bem como a estimativa da quantidade a ser contratada é apresentada na tabela a seguir e está </w:t>
      </w:r>
      <w:r>
        <w:rPr>
          <w:rFonts w:eastAsia="Times New Roman" w:cs="Arial" w:ascii="Verdana" w:hAnsi="Verdana"/>
          <w:color w:val="000000"/>
          <w:kern w:val="0"/>
          <w:sz w:val="20"/>
          <w:szCs w:val="20"/>
          <w:shd w:fill="auto" w:val="clear"/>
          <w:lang w:val="pt-BR" w:eastAsia="zh-CN" w:bidi="ar-SA"/>
        </w:rPr>
        <w:t>baseada na capacidade de atendimento do Abrigo Luz.</w:t>
      </w:r>
    </w:p>
    <w:tbl>
      <w:tblPr>
        <w:tblW w:w="9100" w:type="dxa"/>
        <w:jc w:val="left"/>
        <w:tblInd w:w="31" w:type="dxa"/>
        <w:tblLayout w:type="fixed"/>
        <w:tblCellMar>
          <w:top w:w="55" w:type="dxa"/>
          <w:left w:w="55" w:type="dxa"/>
          <w:bottom w:w="55" w:type="dxa"/>
          <w:right w:w="55" w:type="dxa"/>
        </w:tblCellMar>
      </w:tblPr>
      <w:tblGrid>
        <w:gridCol w:w="1138"/>
        <w:gridCol w:w="6462"/>
        <w:gridCol w:w="1500"/>
      </w:tblGrid>
      <w:tr>
        <w:trPr/>
        <w:tc>
          <w:tcPr>
            <w:tcW w:w="1138" w:type="dxa"/>
            <w:tcBorders>
              <w:top w:val="single" w:sz="2" w:space="0" w:color="000000"/>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Item</w:t>
            </w:r>
          </w:p>
        </w:tc>
        <w:tc>
          <w:tcPr>
            <w:tcW w:w="6462" w:type="dxa"/>
            <w:tcBorders>
              <w:top w:val="single" w:sz="2" w:space="0" w:color="000000"/>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center"/>
              <w:rPr>
                <w:rFonts w:ascii="Verdana" w:hAnsi="Verdana"/>
                <w:sz w:val="20"/>
                <w:szCs w:val="20"/>
              </w:rPr>
            </w:pPr>
            <w:r>
              <w:rPr>
                <w:rFonts w:ascii="Verdana" w:hAnsi="Verdana"/>
                <w:b/>
                <w:bCs/>
                <w:sz w:val="20"/>
                <w:szCs w:val="20"/>
              </w:rPr>
              <w:t>Descrição</w:t>
            </w:r>
          </w:p>
        </w:tc>
        <w:tc>
          <w:tcPr>
            <w:tcW w:w="1500" w:type="dxa"/>
            <w:tcBorders>
              <w:top w:val="single" w:sz="2" w:space="0" w:color="000000"/>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Quantidade</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Açúcar cristal 5kg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Arroz branco tipo 1 5kg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03</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Farinha de mandioca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Farinha de trigo tipo 1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Fermento biológico seco unid</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06</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Fubá pré cozido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90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07</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Leite integral UHT cx com 12 </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08</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Macarrão espaguete 1kg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09</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Oléo de soja tipo 1 900ml</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10</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Canjiquinha de milho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Fermento químico 250gr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Macarrão parafuso 01kg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13</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Café torrado e moído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Feijão carioca 2kg </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140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Feijão preto 01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16</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em pó 800gr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17</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Margarina cremosa 01kg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18</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Sal refinado 01kg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19</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Coco ralado 100gr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20</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Bicarbonato de sódio 200 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Cacau em pó 50% 250gr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Mariola 01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23</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Requeijão cremoso 360 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96</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Cereal infantil multicereais 230gr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Biscoito de polvilho 200gr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26</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Colorau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27</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Achocolatado em pó 01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28</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Azeitoa em conserva fatiada 270gr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90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29</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Tapioca granulada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30</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Polvilho doce 01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condensado 395 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de coco 200ml</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33</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Goiabada 01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Biscoito água e sal 360 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Biscoito doce 360gr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36</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Milho de pipoca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37</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Polvilho azedo 1kg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38</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Creme de leite 200gr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39</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Uva passas 200gr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40</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Sardinha em conserva lata 125gr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Amido de milho 1kg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Vinagre de maçã 750ml</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43</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Queijo mussarela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Milho verde conserva 200gr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Refrigerante 02 litros</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46</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Amendoim branco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47</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Trigo para quibe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48</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Canjica de milho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49</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Atum em conserva 170gr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50</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Batata palha 400gr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Rosquinha de coco 400 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140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Catchup tradicional 390gr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53</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Gelatina em pó caixa com 36 unid</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Polpa de frutas 100gr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Paçoca rolha caixa com 67 unid</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56</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Azeite de oliva  extra virgem 500ml</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36</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57</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de soja cx com 06 unid 01 litro</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58</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zero lactose cx 12 unid 01 lito</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59</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Farinha de tapioca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60</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Açafrão da terra 50gr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50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Chimichurri 50 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Sorvete 2 litros</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36</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Presunto cozido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Carne moída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Charque bovino curado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66</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Sobrecoxa de frango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Filé de peito de frango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68</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Filé de tilápia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100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69</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Linguiça cozida defumada 500gr</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70</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Salsicha hotdog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71</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Lombo suíno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72</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Bacalhau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73</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Costela suína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74</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Carne bovina 1ª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225</w:t>
            </w:r>
          </w:p>
        </w:tc>
      </w:tr>
      <w:tr>
        <w:trPr/>
        <w:tc>
          <w:tcPr>
            <w:tcW w:w="1138"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75</w:t>
            </w:r>
          </w:p>
        </w:tc>
        <w:tc>
          <w:tcPr>
            <w:tcW w:w="6462"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Músculo bovino kg</w:t>
            </w:r>
          </w:p>
        </w:tc>
        <w:tc>
          <w:tcPr>
            <w:tcW w:w="1500"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225</w:t>
            </w:r>
          </w:p>
        </w:tc>
      </w:tr>
    </w:tbl>
    <w:p>
      <w:pPr>
        <w:pStyle w:val="Heading4"/>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6. LEVANTAMENTO DE MERCADO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O levantamento de mercado representa um pilar fundamental para qualquer tomada de decisão. Esta análise minuciosa das alternativas disponíveis não só oferece uma visão abrangente das soluções existentes, mas também fornece insights valiosos para embasar escolhas assertivas. No contexto da contratação de serviços ou aquisições de uma forma geral, essa prática se torna ainda mais crucial.</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Ao avaliar as diferentes opções no mercado, é possível identificar as soluções disponíveis, bem como suas características técnicas e econômicas. Esse processo permite uma compreensão aprofundada das vantagens, desvantagens, custos associados e potenciais benefícios de cada alternativa.</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justificativa técnica e econômica da escolha da solução a contratar é alicerçada nesse levantamento detalhado. A análise dos documentos anexados a esta seção fortalece a argumentação, oferecendo dados concretos que respaldam a melhor relação custo-benefício.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transparência e embasamento técnico proporcionados pelo levantamento de mercado não apenas respaldam a decisão final, mas também promovem uma gestão mais eficiente, minimizando riscos e maximizando os resultados. Investir tempo e recursos nessa etapa inicial pode resultar em economias significativas e em soluções mais alinhadas com as necessidades e objetivos da administração.</w:t>
      </w:r>
    </w:p>
    <w:p>
      <w:pPr>
        <w:pStyle w:val="Normal"/>
        <w:bidi w:val="0"/>
        <w:spacing w:lineRule="auto" w:line="276" w:before="113" w:after="113"/>
        <w:ind w:left="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Após o levantamento de mercado apurou-se que as descrições contidas nas solicitações de compras anexas a este ETP são necessárias para garantir a manutenção da qualidade dos produtos ofertados, facilidade de participação de fornecedores, diversidade de marcas e o pleno atendimentos das necessidades dos equipamentos, exigindo-se do fornecedor o compromisso de entrega do material em tempo hábil para execução da demanda.</w:t>
      </w:r>
    </w:p>
    <w:p>
      <w:pPr>
        <w:pStyle w:val="Normal"/>
        <w:bidi w:val="0"/>
        <w:spacing w:lineRule="auto" w:line="276" w:before="113" w:after="113"/>
        <w:ind w:left="0"/>
        <w:jc w:val="both"/>
        <w:rPr/>
      </w:pPr>
      <w:r>
        <w:rPr>
          <w:rFonts w:eastAsia="Times New Roman" w:cs="Arial" w:ascii="Verdana" w:hAnsi="Verdana"/>
          <w:b w:val="false"/>
          <w:bCs w:val="false"/>
          <w:color w:val="000000"/>
          <w:kern w:val="0"/>
          <w:sz w:val="20"/>
          <w:szCs w:val="20"/>
          <w:shd w:fill="auto" w:val="clear"/>
          <w:lang w:val="pt-BR" w:eastAsia="zh-CN" w:bidi="ar-SA"/>
        </w:rPr>
        <w:t xml:space="preserve">A descrição do item também se encontra, na medida do possível, relacionada no endereço eletrônico: </w:t>
      </w:r>
      <w:hyperlink r:id="rId2">
        <w:r>
          <w:rPr>
            <w:rStyle w:val="Hyperlink"/>
            <w:rFonts w:eastAsia="Times New Roman" w:cs="Arial" w:ascii="Verdana" w:hAnsi="Verdana"/>
            <w:b w:val="false"/>
            <w:bCs w:val="false"/>
            <w:color w:val="000000"/>
            <w:kern w:val="0"/>
            <w:sz w:val="20"/>
            <w:szCs w:val="20"/>
            <w:shd w:fill="auto" w:val="clear"/>
            <w:lang w:val="pt-BR" w:eastAsia="zh-CN" w:bidi="ar-SA"/>
          </w:rPr>
          <w:t>https://catalogo.compras.gov.br/</w:t>
        </w:r>
      </w:hyperlink>
      <w:r>
        <w:rPr>
          <w:rFonts w:eastAsia="Times New Roman" w:cs="Arial" w:ascii="Verdana" w:hAnsi="Verdana"/>
          <w:b w:val="false"/>
          <w:bCs w:val="false"/>
          <w:color w:val="000000"/>
          <w:kern w:val="0"/>
          <w:sz w:val="20"/>
          <w:szCs w:val="20"/>
          <w:shd w:fill="auto" w:val="clear"/>
          <w:lang w:val="pt-BR" w:eastAsia="zh-CN" w:bidi="ar-SA"/>
        </w:rPr>
        <w:t xml:space="preserve"> adotado como parâmetro pela Prefeitura Municipal de São Gabriel da Palha e de acordo com a </w:t>
      </w:r>
      <w:r>
        <w:rPr>
          <w:rFonts w:eastAsia="Times New Roman" w:cs="Arial" w:ascii="Verdana" w:hAnsi="Verdana"/>
          <w:b w:val="false"/>
          <w:bCs/>
          <w:color w:val="000000"/>
          <w:kern w:val="0"/>
          <w:sz w:val="20"/>
          <w:szCs w:val="20"/>
          <w:shd w:fill="auto" w:val="clear"/>
          <w:lang w:val="pt-BR" w:eastAsia="pt-BR" w:bidi="ar-SA"/>
        </w:rPr>
        <w:t xml:space="preserve">INSTRUÇÃO NORMATIVA SEGES </w:t>
      </w:r>
      <w:r>
        <w:rPr>
          <w:rFonts w:eastAsia="Times New Roman" w:cs="Arial" w:ascii="Verdana" w:hAnsi="Verdana"/>
          <w:b w:val="false"/>
          <w:bCs/>
          <w:i/>
          <w:iCs/>
          <w:color w:val="000000"/>
          <w:kern w:val="0"/>
          <w:sz w:val="20"/>
          <w:szCs w:val="20"/>
          <w:shd w:fill="auto" w:val="clear"/>
          <w:lang w:val="pt-BR" w:eastAsia="pt-BR" w:bidi="ar-SA"/>
        </w:rPr>
        <w:t xml:space="preserve">ME Nº 65, DE 7 DE JULHO DE 2021, </w:t>
      </w:r>
      <w:r>
        <w:rPr>
          <w:rFonts w:eastAsia="Times New Roman" w:cs="Arial" w:ascii="Verdana" w:hAnsi="Verdana"/>
          <w:b w:val="false"/>
          <w:bCs/>
          <w:i w:val="false"/>
          <w:iCs w:val="false"/>
          <w:color w:val="000000"/>
          <w:kern w:val="0"/>
          <w:sz w:val="20"/>
          <w:szCs w:val="20"/>
          <w:shd w:fill="auto" w:val="clear"/>
          <w:lang w:val="pt-BR" w:eastAsia="pt-BR" w:bidi="ar-SA"/>
        </w:rPr>
        <w:t>que dispõe sobre o procedimento administrativo para a realização de pesquisa de preços para aquisição de bens e contratação de serviços em geral no âmbito da administração pública (adotada por esta administração através do Decreto nº 3.268/2022).</w:t>
      </w:r>
    </w:p>
    <w:p>
      <w:pPr>
        <w:pStyle w:val="Normal"/>
        <w:bidi w:val="0"/>
        <w:spacing w:lineRule="auto" w:line="276" w:before="113" w:after="113"/>
        <w:ind w:left="0"/>
        <w:jc w:val="both"/>
        <w:rPr>
          <w:rFonts w:ascii="Verdana" w:hAnsi="Verdana" w:eastAsia="Times New Roman" w:cs="Arial"/>
          <w:b w:val="false"/>
          <w:bCs/>
          <w:i w:val="false"/>
          <w:i w:val="false"/>
          <w:iCs w:val="false"/>
          <w:kern w:val="0"/>
          <w:sz w:val="20"/>
          <w:szCs w:val="20"/>
          <w:shd w:fill="auto" w:val="clear"/>
          <w:lang w:val="pt-BR" w:eastAsia="pt-BR" w:bidi="ar-SA"/>
        </w:rPr>
      </w:pPr>
      <w:r>
        <w:rPr>
          <w:rFonts w:eastAsia="Times New Roman" w:cs="Arial" w:ascii="Verdana" w:hAnsi="Verdana"/>
          <w:b w:val="false"/>
          <w:bCs/>
          <w:i w:val="false"/>
          <w:iCs w:val="false"/>
          <w:kern w:val="0"/>
          <w:sz w:val="20"/>
          <w:szCs w:val="20"/>
          <w:shd w:fill="auto" w:val="clear"/>
          <w:lang w:val="pt-BR" w:eastAsia="pt-BR" w:bidi="ar-SA"/>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7. ESTIMATIVA DO PREÇO DA CONTRATAÇÃO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estimativa do valor da contratação e a definição de preços unitários referenciais são fundamentais em qualquer processo de contratação, pois fornecem bases sólidas para a tomada de decisão. Essa etapa não apenas assegura a viabilidade financeira do projeto, mas também promove transparência e justiça na seleção do fornecedor ou prestador de serviços.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Os preços unitários referenciais servem como guias para avaliar propostas, permitindo uma análise criteriosa das ofertas recebidas. Ao estabelecer parâmetros de custo, cria-se um padrão que ajuda a evitar discrepâncias significativas entre as propostas e a realidade de mercado. Isso resulta em processos de seleção mais equitativos e eficientes.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inclusão de eventuais documentos anexos fortalece ainda mais a argumentação, oferecendo embasamento técnico e detalhamento específico sobre os valores estimados. Esses documentos complementares podem incluir pesquisas de mercado, orçamentos anteriores similares, entre outros dados relevantes, que corroboram a precisão e consistência da estimativa realizada.</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Em resumo, a estimativa do valor da contratação aliada aos preços unitários referenciais e à documentação de suporte são pilares essenciais para uma gestão de contratos eficaz, promovendo a transparência, a economia de recursos e a qualidade na seleção de parceiros comerciais.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Desta forma, o preço da contratação está estimado em </w:t>
      </w:r>
      <w:r>
        <w:rPr>
          <w:rFonts w:ascii="Verdana" w:hAnsi="Verdana"/>
          <w:b/>
          <w:bCs/>
          <w:color w:val="000000"/>
          <w:sz w:val="20"/>
          <w:szCs w:val="20"/>
        </w:rPr>
        <w:t>R$ 117.415,66.</w:t>
      </w:r>
    </w:p>
    <w:tbl>
      <w:tblPr>
        <w:tblW w:w="9409" w:type="dxa"/>
        <w:jc w:val="left"/>
        <w:tblInd w:w="81" w:type="dxa"/>
        <w:tblLayout w:type="fixed"/>
        <w:tblCellMar>
          <w:top w:w="55" w:type="dxa"/>
          <w:left w:w="55" w:type="dxa"/>
          <w:bottom w:w="55" w:type="dxa"/>
          <w:right w:w="55" w:type="dxa"/>
        </w:tblCellMar>
      </w:tblPr>
      <w:tblGrid>
        <w:gridCol w:w="812"/>
        <w:gridCol w:w="3893"/>
        <w:gridCol w:w="1081"/>
        <w:gridCol w:w="787"/>
        <w:gridCol w:w="1077"/>
        <w:gridCol w:w="1759"/>
      </w:tblGrid>
      <w:tr>
        <w:trPr/>
        <w:tc>
          <w:tcPr>
            <w:tcW w:w="812" w:type="dxa"/>
            <w:tcBorders>
              <w:top w:val="single" w:sz="2" w:space="0" w:color="000000"/>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Item</w:t>
            </w:r>
          </w:p>
        </w:tc>
        <w:tc>
          <w:tcPr>
            <w:tcW w:w="3893" w:type="dxa"/>
            <w:tcBorders>
              <w:top w:val="single" w:sz="2" w:space="0" w:color="000000"/>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Descrição</w:t>
            </w:r>
          </w:p>
        </w:tc>
        <w:tc>
          <w:tcPr>
            <w:tcW w:w="1081" w:type="dxa"/>
            <w:tcBorders>
              <w:top w:val="single" w:sz="2" w:space="0" w:color="000000"/>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Und</w:t>
            </w:r>
          </w:p>
        </w:tc>
        <w:tc>
          <w:tcPr>
            <w:tcW w:w="787" w:type="dxa"/>
            <w:tcBorders>
              <w:top w:val="single" w:sz="2" w:space="0" w:color="000000"/>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Qtde</w:t>
            </w:r>
          </w:p>
        </w:tc>
        <w:tc>
          <w:tcPr>
            <w:tcW w:w="1077" w:type="dxa"/>
            <w:tcBorders>
              <w:top w:val="single" w:sz="2" w:space="0" w:color="000000"/>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Vlr Unid</w:t>
            </w:r>
          </w:p>
        </w:tc>
        <w:tc>
          <w:tcPr>
            <w:tcW w:w="1759" w:type="dxa"/>
            <w:tcBorders>
              <w:top w:val="single" w:sz="2" w:space="0" w:color="000000"/>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Vlr Total</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Açúcar cristal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R$ 21,82</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R$ 3.491,20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Arroz branco tipo 1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R$ 26,90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R$ 4.304,00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03</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Farinha de mandioca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R$ 7,70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R$ 462,00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Farinha de trigo tipo 1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R$ 6,57</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R$ 1.971,00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Fermento biológico seco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emb</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R$ 9,29</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R$ 557,40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06</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Fubá pré-cozido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90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R$ 3,90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R$ 351,00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07</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Leite integral UHT cx com 12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cx</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R$ 73,10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R$ 14.620,00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08</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Macarrão espaguete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R$ 560,00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09</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Óleo de soja tipo 1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pet</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R$ 6,95</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R$ 1.251,00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10</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Canjiquinha de milho</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R$ 270,00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Fermento químico 250gr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emb</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R$ 9,27</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R$ 556,20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Macarrão parafuso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R$ 450,00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13</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Café torrado e moído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R$ 14,70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R$ 2.646,00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Feijão carioca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140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R$ 19,55</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R$ 2.737,00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Feijão preto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8,10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R$ 1.296,00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16</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Leite em pó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R$ 25,90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4.144,00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17</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Margarina cremosa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pote</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R$ 14,95</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R$ 897,00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18</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Sal refinado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R$ 1,64</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R$ 78,72</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19</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Coco ralado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R$ 5,00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R$ 240,00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20</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 xml:space="preserve">Bicarbonato de sódio </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emb</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R$ 90,00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Cacau em pó 50% 250gr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R$ 21,90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R$ 219,00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Mariola 01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R$ 17,42</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R$ 836,16</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23</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Requeijão cremoso 360 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pote</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96</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R$ 14,50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R$ 1.392,00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Cereal infantil multicereais 230gr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R$ 5,00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R$ 900,00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Biscoito de polvilho 200gr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R$ 2.370,00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26</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Colorau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R$ 360,00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27</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Achocolatado em pó 01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R$ 13,90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R$ 1.112,00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28</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Azeitona em conserva fatiada 270gr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sache</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90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R$ 18,00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R$ 1.620,00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29</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Tapioca granulada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R$ 8,00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R$ 384,00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30</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Polvilho doce 01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R$ 12,90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R$ 309,60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condensado 395 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unid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R$ 6,80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R$ 816,00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de coco 200ml</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vd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R$ 3,50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R$ 168,00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33</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Goiabada 01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R$ 11,69</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R$ 561,12</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Biscoito água e sal 360 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R$ 960,00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Biscoito doce 360gr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R$ 6,12</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R$ 1.101,60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36</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Milho de pipoca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R$ 108,00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37</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Polvilho azedo 1kg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R$ 11,47</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R$ 275,28</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38</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Creme de leite 200gr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unid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R$ 3,77</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R$ 452,40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39</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Uva passas 200gr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unid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R$ 390,00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40</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Sardinha em conserva lata 125gr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lt</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R$ 5,00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R$ 600,00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Amido de milho 1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R$ 8,70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R$ 104,40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Vinagre de maçã 750ml</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vd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R$ 4,51</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R$ 108,24</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43</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Queijo mussarela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R$ 42,39</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R$ 1.107,36</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Milho verde conserva 200gr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lt</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R$ 480,00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Refrigerante 02 litros</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pet</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R$ 5,92</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R$ 355,20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46</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Amendoim branco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R$ 7,50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180,00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47</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Trigo para quibe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18</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R$ 4,95</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R$ 89,10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48</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Canjica de milho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R$ 6,50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R$ 78,00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49</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Atum em conserva 170gr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lt</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R$ 8,79</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R$ 527,40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50</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Batata palha 400gr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R$ 13,90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R$ 834,00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Rosquinha de coco 400 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140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R$ 5,00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R$ 700,00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Catchup tradicional 390gr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sach</w:t>
            </w:r>
            <w:r>
              <w:rPr>
                <w:rFonts w:ascii="Verdana" w:hAnsi="Verdana"/>
                <w:sz w:val="20"/>
                <w:szCs w:val="20"/>
              </w:rPr>
              <w:t>ê</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R$ 72,00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53</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Gelatina em pó caixa com 36 unid</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cx</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R$ 60,00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R$ 600,00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Polpa de frutas 100gr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unid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1200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R$ 3,00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R$ 3.600,00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Paçoca rolha caixa com 67 unid</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cx</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R$ 25,64</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R$ 615,36</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56</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Azeite de oliva extravirgem 500ml</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vd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36</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R$ 45,90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R$ 1.652,40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57</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de soja cx com 06 unid 01 litro</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cx</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R$ 46,80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R$ 3.744,00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58</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Leite zero lactose cx 12 unid 01 litro</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cx</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R$ 41,10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R$ 3.288,00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59</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Farinha de tapioca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R$ 6,90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R$ 414,00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60</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Açafrão da terra 50gr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unid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50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R$ 10,99</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R$ 549,50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Chimichurri 50 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unid</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R$ 12,00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R$ 360,00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Sorvete 2 litros</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pote</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36</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R$ 25,96</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R$ 934,56</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Presunto cozido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24</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R$ 42,02</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R$ 1.008,48</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Carne moída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R$ 22,90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R$ 6.870,00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Charque bovino curado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R$ 38,35</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R$ 3.068,00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66</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Sobrecoxa de frango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R$ 11,14</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R$ 3.342,00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Filé de peito de frango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300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 xml:space="preserve">R$ </w:t>
            </w:r>
            <w:r>
              <w:rPr>
                <w:rFonts w:eastAsia="Times New Roman" w:cs="Arial" w:ascii="Verdana" w:hAnsi="Verdana"/>
                <w:color w:val="000000"/>
                <w:kern w:val="0"/>
                <w:sz w:val="20"/>
                <w:szCs w:val="20"/>
                <w:shd w:fill="auto" w:val="clear"/>
                <w:lang w:val="pt-BR" w:eastAsia="zh-CN" w:bidi="ar-SA"/>
              </w:rPr>
              <w:t>1</w:t>
            </w:r>
            <w:r>
              <w:rPr>
                <w:rFonts w:eastAsia="Times New Roman" w:cs="Arial" w:ascii="Verdana" w:hAnsi="Verdana"/>
                <w:color w:val="000000"/>
                <w:kern w:val="0"/>
                <w:sz w:val="20"/>
                <w:szCs w:val="20"/>
                <w:shd w:fill="auto" w:val="clear"/>
                <w:lang w:val="pt-BR" w:eastAsia="zh-CN" w:bidi="ar-SA"/>
              </w:rPr>
              <w:t>6,78</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R$ 5.034,00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68</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Filé de tilápia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100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R$ 42,88</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R$ 4.288,00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69</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Linguiça cozida defumada 500gr</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pac</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R$ 12,90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R$ 774,00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70</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Salsicha hot-dog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R$ 25,68</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R$ 1.027,20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71</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Lombo suíno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R$ 20,77</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R$ 1.661,60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72</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Bacalhau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40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R$ 90,99</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R$ 3.639,60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73</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Costela suína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80</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R$ 26,99</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R$ 2.159,20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74</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Carne bovina 1ª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225</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R$ 30,80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R$ 6.930,00</w:t>
            </w:r>
          </w:p>
        </w:tc>
      </w:tr>
      <w:tr>
        <w:trPr/>
        <w:tc>
          <w:tcPr>
            <w:tcW w:w="812"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75</w:t>
            </w:r>
          </w:p>
        </w:tc>
        <w:tc>
          <w:tcPr>
            <w:tcW w:w="3893" w:type="dxa"/>
            <w:tcBorders>
              <w:left w:val="single" w:sz="2" w:space="0" w:color="000000"/>
              <w:bottom w:val="single" w:sz="2" w:space="0" w:color="000000"/>
            </w:tcBorders>
          </w:tcPr>
          <w:p>
            <w:pPr>
              <w:pStyle w:val="Contedodatabela"/>
              <w:widowControl w:val="false"/>
              <w:suppressLineNumbers/>
              <w:suppressAutoHyphens w:val="true"/>
              <w:bidi w:val="0"/>
              <w:spacing w:lineRule="auto" w:line="276" w:before="0" w:after="0"/>
              <w:ind w:hanging="0" w:left="170" w:right="0"/>
              <w:jc w:val="both"/>
              <w:rPr>
                <w:rFonts w:ascii="Verdana" w:hAnsi="Verdana"/>
                <w:sz w:val="20"/>
                <w:szCs w:val="20"/>
              </w:rPr>
            </w:pPr>
            <w:r>
              <w:rPr>
                <w:rFonts w:eastAsia="Times New Roman" w:cs="Times New Roman" w:ascii="Verdana" w:hAnsi="Verdana"/>
                <w:color w:val="auto"/>
                <w:kern w:val="0"/>
                <w:sz w:val="20"/>
                <w:szCs w:val="20"/>
                <w:lang w:val="pt-BR" w:eastAsia="zh-CN" w:bidi="ar-SA"/>
              </w:rPr>
              <w:t>Músculo bovino kg</w:t>
            </w:r>
          </w:p>
        </w:tc>
        <w:tc>
          <w:tcPr>
            <w:tcW w:w="1081"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sz w:val="20"/>
                <w:szCs w:val="20"/>
              </w:rPr>
              <w:t>kg</w:t>
            </w:r>
          </w:p>
        </w:tc>
        <w:tc>
          <w:tcPr>
            <w:tcW w:w="787" w:type="dxa"/>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eastAsia="Times New Roman" w:cs="Times New Roman" w:ascii="Verdana" w:hAnsi="Verdana"/>
                <w:color w:val="auto"/>
                <w:kern w:val="0"/>
                <w:sz w:val="20"/>
                <w:szCs w:val="20"/>
                <w:lang w:val="pt-BR" w:eastAsia="zh-CN" w:bidi="ar-SA"/>
              </w:rPr>
              <w:t>225</w:t>
            </w:r>
          </w:p>
        </w:tc>
        <w:tc>
          <w:tcPr>
            <w:tcW w:w="1077" w:type="dxa"/>
            <w:tcBorders>
              <w:left w:val="single" w:sz="2" w:space="0" w:color="000000"/>
              <w:bottom w:val="single" w:sz="2" w:space="0" w:color="000000"/>
            </w:tcBorders>
          </w:tcPr>
          <w:p>
            <w:pPr>
              <w:pStyle w:val="Normal"/>
              <w:widowControl w:val="false"/>
              <w:bidi w:val="0"/>
              <w:spacing w:lineRule="auto" w:line="276" w:before="0" w:after="0"/>
              <w:ind w:left="0"/>
              <w:jc w:val="right"/>
              <w:rPr>
                <w:rFonts w:ascii="Verdana" w:hAnsi="Verdana"/>
                <w:sz w:val="20"/>
                <w:szCs w:val="20"/>
              </w:rPr>
            </w:pPr>
            <w:r>
              <w:rPr>
                <w:rFonts w:eastAsia="Times New Roman" w:cs="Arial" w:ascii="Verdana" w:hAnsi="Verdana"/>
                <w:color w:val="000000"/>
                <w:kern w:val="0"/>
                <w:sz w:val="20"/>
                <w:szCs w:val="20"/>
                <w:shd w:fill="auto" w:val="clear"/>
                <w:lang w:val="pt-BR" w:eastAsia="zh-CN" w:bidi="ar-SA"/>
              </w:rPr>
              <w:t>R$ 24,70</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R$ 5.557,50</w:t>
            </w:r>
          </w:p>
        </w:tc>
      </w:tr>
      <w:tr>
        <w:trPr/>
        <w:tc>
          <w:tcPr>
            <w:tcW w:w="7650" w:type="dxa"/>
            <w:gridSpan w:val="5"/>
            <w:tcBorders>
              <w:left w:val="single" w:sz="2" w:space="0" w:color="000000"/>
              <w:bottom w:val="single" w:sz="2" w:space="0" w:color="000000"/>
            </w:tcBorders>
          </w:tcPr>
          <w:p>
            <w:pPr>
              <w:pStyle w:val="Contedodatabela"/>
              <w:widowControl w:val="false"/>
              <w:bidi w:val="0"/>
              <w:spacing w:lineRule="auto" w:line="276" w:before="0" w:after="0"/>
              <w:ind w:left="0"/>
              <w:jc w:val="center"/>
              <w:rPr>
                <w:rFonts w:ascii="Verdana" w:hAnsi="Verdana"/>
                <w:sz w:val="20"/>
                <w:szCs w:val="20"/>
              </w:rPr>
            </w:pPr>
            <w:r>
              <w:rPr>
                <w:rFonts w:ascii="Verdana" w:hAnsi="Verdana"/>
                <w:b/>
                <w:bCs/>
                <w:sz w:val="20"/>
                <w:szCs w:val="20"/>
              </w:rPr>
              <w:t>Total Estimado</w:t>
            </w:r>
          </w:p>
        </w:tc>
        <w:tc>
          <w:tcPr>
            <w:tcW w:w="1759" w:type="dxa"/>
            <w:tcBorders>
              <w:left w:val="single" w:sz="2" w:space="0" w:color="000000"/>
              <w:bottom w:val="single" w:sz="2" w:space="0" w:color="000000"/>
              <w:right w:val="single" w:sz="2" w:space="0" w:color="000000"/>
            </w:tcBorders>
          </w:tcPr>
          <w:p>
            <w:pPr>
              <w:pStyle w:val="Contedodatabela"/>
              <w:widowControl w:val="false"/>
              <w:bidi w:val="0"/>
              <w:spacing w:lineRule="auto" w:line="276" w:before="0" w:after="0"/>
              <w:ind w:left="0"/>
              <w:jc w:val="right"/>
              <w:rPr>
                <w:rFonts w:ascii="Verdana" w:hAnsi="Verdana"/>
                <w:sz w:val="20"/>
                <w:szCs w:val="20"/>
              </w:rPr>
            </w:pPr>
            <w:r>
              <w:rPr>
                <w:rFonts w:ascii="Verdana" w:hAnsi="Verdana"/>
                <w:b/>
                <w:bCs/>
                <w:sz w:val="20"/>
                <w:szCs w:val="20"/>
              </w:rPr>
              <w:t>R$ 117.415,66</w:t>
            </w:r>
          </w:p>
        </w:tc>
      </w:tr>
    </w:tbl>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8. DESCRIÇÃO DA SOLUÇÃO COMO UM TODO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Após uma análise das opções disponíveis, foi possível identificar a solução mais vantajosa tanto para a contratação inicial quanto para futuras manutenções. O processo de avaliação envolveu uma análise criteriosa de diversos aspectos, levando em consideração não apenas o custo inicial, mas também a qualidade, a confiabilidade e a eficiência a longo prazo.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Dentre as opções examinadas, a solução que se destacou foi aquela que oferecia um equilíbrio notável entre qualidade e custo-benefício. Além de apresentar um custo inicial competitivo, essa alternativa demonstrou ser compatível com as necessidades projetadas no caso de uma eventual manutenção futura. Sua capacidade de adaptação a possíveis mudanças também foi um ponto crucial na decisão.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escolha desta solução não apenas se mostrou vantajosa para o momento da contratação, mas também previu potenciais economias a longo prazo, tanto em termos de despesas operacionais.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Com base na análise detalhada realizada, esta solução se destaca como a mais viável e promissora para atender às demandas atuais e futuras, oferecendo um equilíbrio ideal entre eficiência, confiabilidade e custo, tanto na fase inicial quanto nas manutenções posteriores.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Sendo assim, a solução mais vantajosa para a contratação foi o registro de preços.</w:t>
      </w:r>
    </w:p>
    <w:p>
      <w:pPr>
        <w:pStyle w:val="BodyText"/>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9. JUSTIFICATIVA PARA PARCELAMENTO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legislação que rege as contratações públicas muitas vezes permite à administração pública a liberdade de escolher entre diferentes critérios de adjudicação para os objetos em questão. Esta flexibilidade é essencial para atender às necessidades específicas de cada contratação. Quando se trata de decidir sobre o parcelamento ou não da solução, a administração deve considerar vários elementos.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opção de parcelamento da solução pode ser determinada levando em conta a complexidade do objeto, a viabilidade técnica e econômica do parcelamento, bem como a capacidade de fornecedores em atender a diferentes partes do objeto. Decidir entre adjudicação por item, por grupos ou globalmente implica ponderar vantagens e desvantagens de cada abordagem.</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Adjudicar por item pode permitir uma seleção mais precisa, considerando particularidades de cada componente. Já o parcelamento por grupos pode otimizar a operacionalização, enquanto a adjudicação global pode simplificar o processo, concentrando a gestão em um único contrato.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decisão sobre o critério de adjudicação deve primar pela eficiência na execução, garantindo a obtenção do melhor resultado para a administração pública e para o interesse coletivo. É um exercício de análise criteriosa, buscando o equilíbrio entre economia, praticidade e qualidade na entrega do objeto contratado.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Além disso, o formato de licitação por item individual ou por lotes permite uma abordagem adaptável, viabilizando a consideração do parcelamento nas contratações governamentais.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Ao adotar o parcelamento por item individual, a administração pública tem a oportunidade de selecionar e adquirir serviços ou produtos de forma separada, possibilitando uma análise mais minuciosa das propostas e aquisição específica de cada componente necessário para o cumprimento de seus objetivos.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Por outro lado, o parcelamento por lotes oferece a chance de agrupar itens ou serviços relacionados, facilitando a gestão e execução de contratos complexos, além de fomentar a participação de uma variedade maior de fornecedores, inclusive pequenas e médias empresas, ampliando a competitividade e a diversidade de ofertas.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Essa flexibilidade na estrutura de licitação, seja por item individual ou por lotes, reflete a capacidade da administração pública de se adaptar às demandas específicas de cada situação, garantindo uma gestão eficiente e transparente dos recursos públicos, ao mesmo tempo em que promove a concorrência e a busca pela melhor relação custo-benefício para a sociedade como um todo.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Para o contexto deste objeto, foi definido o formato de licitação por item. </w:t>
      </w:r>
    </w:p>
    <w:p>
      <w:pPr>
        <w:pStyle w:val="BodyText"/>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10. DEMONSTRATIVO DOS RESULTADOS PRETENDIDOS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O REGISTRO DE PREÇOS DE GÊNEROS ALIMENTÍCIOS PARA O ABRIGO LUZ tem como objetivo principal alcançar resultados significativos em termos de economicidade e melhor aproveitamento dos recursos humanos, materiais e financeiros disponíveis. Através deste processo, a instituição busca otimizar os custos relacionados à alimentação dos assistidos, garantindo a qualidade dos produtos adquiridos a preços mais vantajosos.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br/>
        <w:t>Com a formalização do registro de preços, o Abrigo Luz poderá realizar compras de acordo com a demanda apresentada. Isso permitirá uma economia significativa nos gastos com alimentos, possibilitando a destinação de recursos para outras áreas prioritárias da instituição.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br/>
        <w:t>Além disso, a utilização eficiente dos recursos disponíveis contribuirá para um melhor aproveitamento dos alimentos, evitando desperdícios e garantindo uma alimentação balanceada e de qualidade para os assistidos. O desenvolvimento sustentável também será promovido, uma vez que a instituição poderá adotar práticas mais sustentáveis na aquisição e no consumo de alimentos, reduzindo o impacto ambiental de suas operações.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br/>
        <w:t>Dessa forma, o REGISTRO DE PREÇOS DE GÊNEROS ALIMENTÍCIOS PARA O ABRIGO LUZ representa uma estratégia essencial para promover a eficiência, a sustentabilidade e o bem-estar dos beneficiários atendidos pela instituição.</w:t>
      </w:r>
    </w:p>
    <w:p>
      <w:pPr>
        <w:pStyle w:val="BodyText"/>
        <w:bidi w:val="0"/>
        <w:spacing w:lineRule="auto" w:line="276" w:before="113" w:after="113"/>
        <w:ind w:left="0"/>
        <w:jc w:val="both"/>
        <w:rPr>
          <w:color w:val="000000"/>
        </w:rPr>
      </w:pPr>
      <w:r>
        <w:rPr>
          <w:rFonts w:ascii="Verdana" w:hAnsi="Verdana"/>
          <w:sz w:val="20"/>
          <w:szCs w:val="20"/>
        </w:rPr>
      </w:r>
    </w:p>
    <w:p>
      <w:pPr>
        <w:pStyle w:val="BodyText"/>
        <w:bidi w:val="0"/>
        <w:spacing w:lineRule="auto" w:line="276" w:before="113" w:after="113"/>
        <w:ind w:left="0"/>
        <w:jc w:val="both"/>
        <w:rPr>
          <w:rFonts w:ascii="Verdana" w:hAnsi="Verdana"/>
          <w:sz w:val="20"/>
          <w:szCs w:val="20"/>
        </w:rPr>
      </w:pPr>
      <w:r>
        <w:rPr>
          <w:rFonts w:ascii="Verdana" w:hAnsi="Verdana"/>
          <w:b/>
          <w:bCs/>
          <w:color w:val="000000"/>
          <w:sz w:val="20"/>
          <w:szCs w:val="20"/>
        </w:rPr>
        <w:t>11. PROVIDÊNCIAS PRÉVIAS AO CONTRATO</w:t>
      </w:r>
      <w:r>
        <w:rPr>
          <w:rFonts w:ascii="Verdana" w:hAnsi="Verdana"/>
          <w:color w:val="000000"/>
          <w:sz w:val="20"/>
          <w:szCs w:val="20"/>
        </w:rPr>
        <w:t xml:space="preserve">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Antes de celebrar qualquer contrato, é fundamental que a administração adote medidas estratégicas para garantir sua efetividade e conformidade. Uma das primeiras ações deve ser a capacitação de servidores ou empregados responsáveis pela fiscalização e gestão contratual. Essa capacitação inclui a compreensão detalhada dos termos contratuais, habilidades de monitoramento e conhecimento das legislações pertinentes.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Além disso, é essencial realizar uma análise minuciosa do ambiente da administração para garantir que esteja em conformidade com as exigências contratuais. Isso pode envolver desde ajustes físicos no espaço de trabalho até a implementação de sistemas e processos que facilitem a execução do contrato. A infraestrutura tecnológica também merece atenção, assegurando que esteja apta a suportar as demandas do contrato.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Outro passo crucial é a definição clara de responsabilidades e fluxos de comunicação entre os envolvidos, tanto internos quanto externos. Essa clareza evita mal-entendidos e contribui para uma gestão mais eficiente do contrato.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Em resumo, antes da celebração do contrato, a administração deve focar na capacitação das pessoas envolvidas e na definição de processos claros para garantir que o contrato seja executado com sucesso e em conformidade com as expectativas estabelecidas.</w:t>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 xml:space="preserve">12. CONTRATAÇÕES CORRELATADAS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Após uma minuciosa análise, foi investigado minuciosamente se existem contratações atualmente em andamento que possam se correlacionar ou interagir de forma significativa com o planejamento da futura contratação. Foi verificado que o processo 3268/2024 possui o mesmo objeto, porém, não foi obtido êxito na contratação, visto que os itens foram fracassados em quase sua totalidade.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Os resultados desta análise revelaram que, embora haja algumas contratações em curso, sua interdependência com o planejamento da próxima contratação é mínima.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No entanto, foi observada a necessidade de acompanhar de perto determinados aspectos que poderiam tangenciar a nova contratação. Essa atenção extra garantirá a integridade e a eficiência do processo, assegurando que a futura contratação seja realizada de maneira independente e sem comprometer os outros projetos em andamento.</w:t>
      </w:r>
    </w:p>
    <w:p>
      <w:pPr>
        <w:pStyle w:val="BodyText"/>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1</w:t>
      </w:r>
      <w:r>
        <w:rPr>
          <w:rFonts w:ascii="Verdana" w:hAnsi="Verdana"/>
          <w:color w:val="000000"/>
          <w:sz w:val="20"/>
          <w:szCs w:val="20"/>
        </w:rPr>
        <w:t>3</w:t>
      </w:r>
      <w:r>
        <w:rPr>
          <w:rFonts w:ascii="Verdana" w:hAnsi="Verdana"/>
          <w:color w:val="000000"/>
          <w:sz w:val="20"/>
          <w:szCs w:val="20"/>
        </w:rPr>
        <w:t xml:space="preserve">. IMPACTOS AMBIENTAIS </w:t>
      </w:r>
    </w:p>
    <w:p>
      <w:pPr>
        <w:pStyle w:val="BodyText"/>
        <w:widowControl w:val="false"/>
        <w:suppressAutoHyphens w:val="true"/>
        <w:bidi w:val="0"/>
        <w:spacing w:lineRule="auto" w:line="276" w:before="113" w:after="113"/>
        <w:ind w:left="0"/>
        <w:jc w:val="both"/>
        <w:rPr>
          <w:sz w:val="20"/>
          <w:szCs w:val="20"/>
        </w:rPr>
      </w:pPr>
      <w:r>
        <w:rPr>
          <w:rFonts w:ascii="Verdana" w:hAnsi="Verdana"/>
          <w:color w:val="000000"/>
          <w:sz w:val="20"/>
          <w:szCs w:val="20"/>
        </w:rPr>
        <w:t xml:space="preserve">O </w:t>
      </w:r>
      <w:r>
        <w:rPr>
          <w:rFonts w:eastAsia="NSimSun" w:cs="Lucida Sans" w:ascii="Verdana" w:hAnsi="Verdana"/>
          <w:color w:val="000000"/>
          <w:kern w:val="0"/>
          <w:sz w:val="20"/>
          <w:szCs w:val="20"/>
          <w:lang w:val="pt-BR" w:eastAsia="zh-CN" w:bidi="hi-IN"/>
        </w:rPr>
        <w:t xml:space="preserve">Registro de Preços de Gêneros Alimentícios para o Abrigo Luz pode gerar impactos ambientais significativos, principalmente relacionados à produção, embalagem, transporte e descarte dos alimentos. </w:t>
      </w:r>
    </w:p>
    <w:p>
      <w:pPr>
        <w:pStyle w:val="BodyText"/>
        <w:widowControl w:val="false"/>
        <w:suppressAutoHyphens w:val="true"/>
        <w:bidi w:val="0"/>
        <w:spacing w:lineRule="auto" w:line="276" w:before="113" w:after="113"/>
        <w:ind w:left="0"/>
        <w:jc w:val="both"/>
        <w:rPr>
          <w:sz w:val="20"/>
          <w:szCs w:val="20"/>
        </w:rPr>
      </w:pPr>
      <w:r>
        <w:rPr>
          <w:rFonts w:eastAsia="NSimSun" w:cs="Lucida Sans" w:ascii="Verdana" w:hAnsi="Verdana"/>
          <w:color w:val="000000"/>
          <w:kern w:val="0"/>
          <w:sz w:val="20"/>
          <w:szCs w:val="20"/>
          <w:lang w:val="pt-BR" w:eastAsia="zh-CN" w:bidi="hi-IN"/>
        </w:rPr>
        <w:t>Dentre os possíveis impactos ambientais, destacam-se o uso excessivo de recursos naturais, como água e solo, para a produção dos alimentos, a geração de resíduos sólidos e líquidos durante o processamento e embalagem dos alimentos, as emissões de gases de efeito estufa, decorrentes do tra</w:t>
      </w:r>
      <w:r>
        <w:rPr>
          <w:rFonts w:ascii="Verdana" w:hAnsi="Verdana"/>
          <w:color w:val="000000"/>
          <w:sz w:val="20"/>
          <w:szCs w:val="20"/>
        </w:rPr>
        <w:t>nsporte dos alimentos até o abrigo e o descarte inadequado de embalagens.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Para mitigar esses impactos, é importante adotar medidas sustentáveis ao longo de toda a cadeia de produção e distribuição dos alimentos. Isso inclui a escolha de fornecedores que adotem práticas sustentáveis na produção dos alimentos, como o uso de técnicas de agricultura orgânica e a redução do uso de agrotóxicos. Além disso, é fundamental buscar alternativas de embalagens biodegradáveis ou recicláveis, promover a coleta seletiva dos resíduos gerados e adotar práticas de logística sustentável para reduzir as emissões de gases de efeito estufa.</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 xml:space="preserve">Dessa forma, é possível minimizar os impactos ambientais do Registro de Preços de Gêneros Alimentícios para o Abrigo Luz e contribuir para a preservação do meio ambiente. </w:t>
      </w:r>
    </w:p>
    <w:p>
      <w:pPr>
        <w:pStyle w:val="BodyText"/>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Heading4"/>
        <w:bidi w:val="0"/>
        <w:spacing w:lineRule="auto" w:line="276" w:before="113" w:after="113"/>
        <w:ind w:left="0"/>
        <w:jc w:val="both"/>
        <w:rPr>
          <w:rFonts w:ascii="Verdana" w:hAnsi="Verdana"/>
          <w:sz w:val="20"/>
          <w:szCs w:val="20"/>
        </w:rPr>
      </w:pPr>
      <w:r>
        <w:rPr>
          <w:rFonts w:ascii="Verdana" w:hAnsi="Verdana"/>
          <w:color w:val="000000"/>
          <w:sz w:val="20"/>
          <w:szCs w:val="20"/>
        </w:rPr>
        <w:t>1</w:t>
      </w:r>
      <w:r>
        <w:rPr>
          <w:rFonts w:ascii="Verdana" w:hAnsi="Verdana"/>
          <w:color w:val="000000"/>
          <w:sz w:val="20"/>
          <w:szCs w:val="20"/>
        </w:rPr>
        <w:t>4</w:t>
      </w:r>
      <w:r>
        <w:rPr>
          <w:rFonts w:ascii="Verdana" w:hAnsi="Verdana"/>
          <w:color w:val="000000"/>
          <w:sz w:val="20"/>
          <w:szCs w:val="20"/>
        </w:rPr>
        <w:t xml:space="preserve">. VIABILIDADE DA CONTRATAÇÃO </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Após uma minuciosa avaliação da viabilidade de contratação, é com satisfação que comunicamos um parecer favorável em relação aos aspectos técnicos, operacionais e orçamentários do projeto proposto. Nossa análise abrangente levou em consideração não apenas a capacidade técnica exigida, mas também a eficiência operacional e a compatibilidade com o orçamento disponível.</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A avaliação técnica destacou a adequação das habilidades e competências necessárias, evidenciando a capacidade de atender aos requisitos específicos demandados. Além disso, a viabilidade operacional foi confirmada, com a identificação de processos e recursos que se alinham de maneira eficaz à execução do projeto, garantindo sua fluidez e sucesso.</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Quanto à viabilidade orçamentária, a análise meticulosa revelou uma alocação de recursos que se mostra condizente com as expectativas financeiras estipuladas, assegurando um uso prudente e eficiente dos fundos disponíveis.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Destacamos que a contratação proposta não apenas atende, mas também se ajusta precisamente à necessidade identificada, apresentando-se como uma solução integral e coerente com os objetivos traçados.</w:t>
      </w:r>
    </w:p>
    <w:p>
      <w:pPr>
        <w:pStyle w:val="BodyText"/>
        <w:bidi w:val="0"/>
        <w:spacing w:lineRule="auto" w:line="276" w:before="113" w:after="113"/>
        <w:ind w:left="0"/>
        <w:jc w:val="both"/>
        <w:rPr>
          <w:rFonts w:ascii="Verdana" w:hAnsi="Verdana"/>
          <w:sz w:val="20"/>
          <w:szCs w:val="20"/>
        </w:rPr>
      </w:pPr>
      <w:r>
        <w:rPr>
          <w:rFonts w:ascii="Verdana" w:hAnsi="Verdana"/>
          <w:color w:val="000000"/>
          <w:sz w:val="20"/>
          <w:szCs w:val="20"/>
        </w:rPr>
        <w:t>Com base nesta análise abrangente e criteriosa, recomendamos a efetivação da contratação, pois a mesma se mostra viável tecnicamente, operacionalmente e financeiramente, além de estar perfeitamente alinhada à demanda identificada.</w:t>
      </w:r>
    </w:p>
    <w:p>
      <w:pPr>
        <w:pStyle w:val="BodyText"/>
        <w:bidi w:val="0"/>
        <w:spacing w:lineRule="auto" w:line="276" w:before="113" w:after="113"/>
        <w:ind w:left="0"/>
        <w:jc w:val="both"/>
        <w:rPr>
          <w:rFonts w:ascii="Verdana" w:hAnsi="Verdana"/>
          <w:color w:val="000000"/>
          <w:sz w:val="20"/>
          <w:szCs w:val="20"/>
        </w:rPr>
      </w:pPr>
      <w:r>
        <w:rPr>
          <w:rFonts w:ascii="Verdana" w:hAnsi="Verdana"/>
          <w:color w:val="000000"/>
          <w:sz w:val="20"/>
          <w:szCs w:val="20"/>
        </w:rPr>
      </w:r>
    </w:p>
    <w:p>
      <w:pPr>
        <w:pStyle w:val="Normal"/>
        <w:bidi w:val="0"/>
        <w:spacing w:lineRule="auto" w:line="276" w:before="113" w:after="113"/>
        <w:ind w:left="0"/>
        <w:jc w:val="right"/>
        <w:rPr>
          <w:rFonts w:ascii="Verdana" w:hAnsi="Verdana"/>
          <w:sz w:val="20"/>
          <w:szCs w:val="20"/>
        </w:rPr>
      </w:pPr>
      <w:r>
        <w:rPr>
          <w:rFonts w:cs="Arial" w:ascii="Verdana" w:hAnsi="Verdana"/>
          <w:sz w:val="20"/>
          <w:szCs w:val="20"/>
        </w:rPr>
        <w:t xml:space="preserve">São Gabriel da Palha, </w:t>
      </w:r>
      <w:r>
        <w:rPr>
          <w:rFonts w:eastAsia="Times New Roman" w:cs="Arial" w:ascii="Verdana" w:hAnsi="Verdana"/>
          <w:color w:val="auto"/>
          <w:kern w:val="0"/>
          <w:sz w:val="20"/>
          <w:szCs w:val="20"/>
          <w:lang w:val="pt-BR" w:eastAsia="zh-CN" w:bidi="ar-SA"/>
        </w:rPr>
        <w:t>09</w:t>
      </w:r>
      <w:r>
        <w:rPr>
          <w:rFonts w:cs="Arial" w:ascii="Verdana" w:hAnsi="Verdana"/>
          <w:sz w:val="20"/>
          <w:szCs w:val="20"/>
        </w:rPr>
        <w:t xml:space="preserve"> de </w:t>
      </w:r>
      <w:r>
        <w:rPr>
          <w:rFonts w:eastAsia="Times New Roman" w:cs="Arial" w:ascii="Verdana" w:hAnsi="Verdana"/>
          <w:color w:val="auto"/>
          <w:kern w:val="0"/>
          <w:sz w:val="20"/>
          <w:szCs w:val="20"/>
          <w:lang w:val="pt-BR" w:eastAsia="zh-CN" w:bidi="ar-SA"/>
        </w:rPr>
        <w:t>setembro</w:t>
      </w:r>
      <w:r>
        <w:rPr>
          <w:rFonts w:cs="Arial" w:ascii="Verdana" w:hAnsi="Verdana"/>
          <w:sz w:val="20"/>
          <w:szCs w:val="20"/>
        </w:rPr>
        <w:t xml:space="preserve"> de 2024. </w:t>
      </w:r>
    </w:p>
    <w:p>
      <w:pPr>
        <w:pStyle w:val="Normal"/>
        <w:suppressAutoHyphens w:val="false"/>
        <w:bidi w:val="0"/>
        <w:spacing w:lineRule="auto" w:line="276" w:before="113" w:after="113"/>
        <w:ind w:left="0"/>
        <w:jc w:val="both"/>
        <w:rPr>
          <w:rFonts w:ascii="Verdana" w:hAnsi="Verdana"/>
          <w:sz w:val="20"/>
          <w:szCs w:val="20"/>
        </w:rPr>
      </w:pPr>
      <w:r>
        <w:rPr>
          <w:rFonts w:cs="Arial" w:ascii="Verdana" w:hAnsi="Verdana"/>
          <w:b/>
          <w:sz w:val="20"/>
          <w:szCs w:val="20"/>
        </w:rPr>
        <w:t>1</w:t>
      </w:r>
      <w:r>
        <w:rPr>
          <w:rFonts w:cs="Arial" w:ascii="Verdana" w:hAnsi="Verdana"/>
          <w:b/>
          <w:sz w:val="20"/>
          <w:szCs w:val="20"/>
        </w:rPr>
        <w:t>5</w:t>
      </w:r>
      <w:r>
        <w:rPr>
          <w:rFonts w:cs="Arial" w:ascii="Verdana" w:hAnsi="Verdana"/>
          <w:b/>
          <w:sz w:val="20"/>
          <w:szCs w:val="20"/>
        </w:rPr>
        <w:t>. RESPONSÁVEIS</w:t>
      </w:r>
    </w:p>
    <w:tbl>
      <w:tblPr>
        <w:tblW w:w="9518" w:type="dxa"/>
        <w:jc w:val="left"/>
        <w:tblInd w:w="0" w:type="dxa"/>
        <w:tblLayout w:type="fixed"/>
        <w:tblCellMar>
          <w:top w:w="55" w:type="dxa"/>
          <w:left w:w="55" w:type="dxa"/>
          <w:bottom w:w="55" w:type="dxa"/>
          <w:right w:w="55" w:type="dxa"/>
        </w:tblCellMar>
      </w:tblPr>
      <w:tblGrid>
        <w:gridCol w:w="4077"/>
        <w:gridCol w:w="5441"/>
      </w:tblGrid>
      <w:tr>
        <w:trPr/>
        <w:tc>
          <w:tcPr>
            <w:tcW w:w="4077" w:type="dxa"/>
            <w:tcBorders/>
          </w:tcPr>
          <w:p>
            <w:pPr>
              <w:pStyle w:val="Normal"/>
              <w:widowControl w:val="false"/>
              <w:suppressAutoHyphens w:val="false"/>
              <w:bidi w:val="0"/>
              <w:spacing w:lineRule="auto" w:line="276" w:before="0" w:after="0"/>
              <w:ind w:lef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5441" w:type="dxa"/>
            <w:tcBorders/>
          </w:tcPr>
          <w:p>
            <w:pPr>
              <w:pStyle w:val="Normal"/>
              <w:widowControl w:val="false"/>
              <w:bidi w:val="0"/>
              <w:spacing w:lineRule="auto" w:line="276" w:before="0" w:after="0"/>
              <w:ind w:left="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077" w:type="dxa"/>
            <w:tcBorders/>
          </w:tcPr>
          <w:p>
            <w:pPr>
              <w:pStyle w:val="Contedodatabela"/>
              <w:widowControl w:val="false"/>
              <w:bidi w:val="0"/>
              <w:spacing w:lineRule="auto" w:line="276" w:before="0" w:after="0"/>
              <w:ind w:left="0"/>
              <w:jc w:val="center"/>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bidi w:val="0"/>
              <w:spacing w:lineRule="auto" w:line="276" w:before="0" w:after="0"/>
              <w:ind w:left="0"/>
              <w:jc w:val="center"/>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bidi w:val="0"/>
              <w:spacing w:lineRule="auto" w:line="276" w:before="0" w:after="0"/>
              <w:ind w:left="0"/>
              <w:jc w:val="center"/>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ROSIELI VIAL ALVES AMORIM</w:t>
            </w:r>
          </w:p>
        </w:tc>
        <w:tc>
          <w:tcPr>
            <w:tcW w:w="5441" w:type="dxa"/>
            <w:tcBorders/>
          </w:tcPr>
          <w:p>
            <w:pPr>
              <w:pStyle w:val="Contedodatabela"/>
              <w:widowControl w:val="false"/>
              <w:bidi w:val="0"/>
              <w:spacing w:lineRule="auto" w:line="276" w:before="0" w:after="0"/>
              <w:ind w:left="0"/>
              <w:jc w:val="center"/>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bidi w:val="0"/>
              <w:spacing w:lineRule="auto" w:line="276" w:before="0" w:after="0"/>
              <w:ind w:left="0"/>
              <w:jc w:val="center"/>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bidi w:val="0"/>
              <w:spacing w:lineRule="auto" w:line="276" w:before="0" w:after="0"/>
              <w:ind w:left="0"/>
              <w:jc w:val="center"/>
              <w:rPr>
                <w:rFonts w:ascii="Verdana" w:hAnsi="Verdana"/>
                <w:sz w:val="20"/>
                <w:szCs w:val="20"/>
              </w:rPr>
            </w:pPr>
            <w:r>
              <w:rPr>
                <w:rFonts w:eastAsia="NSimSun" w:cs="Lucida Sans" w:ascii="Verdana" w:hAnsi="Verdana"/>
                <w:b/>
                <w:bCs/>
                <w:i w:val="false"/>
                <w:iCs w:val="false"/>
                <w:strike w:val="false"/>
                <w:dstrike w:val="false"/>
                <w:outline w:val="false"/>
                <w:shadow w:val="false"/>
                <w:color w:val="000000"/>
                <w:sz w:val="20"/>
                <w:szCs w:val="20"/>
                <w:u w:val="none"/>
                <w:lang w:val="pt-BR" w:eastAsia="zh-CN" w:bidi="hi-IN"/>
              </w:rPr>
              <w:t xml:space="preserve">JUSSARA LOURRAINY FREDERICO LAN </w:t>
            </w:r>
          </w:p>
        </w:tc>
      </w:tr>
      <w:tr>
        <w:trPr/>
        <w:tc>
          <w:tcPr>
            <w:tcW w:w="4077" w:type="dxa"/>
            <w:tcBorders/>
          </w:tcPr>
          <w:p>
            <w:pPr>
              <w:pStyle w:val="Normal"/>
              <w:widowControl w:val="false"/>
              <w:bidi w:val="0"/>
              <w:spacing w:lineRule="auto" w:line="276" w:before="0" w:after="0"/>
              <w:ind w:left="0"/>
              <w:jc w:val="center"/>
              <w:rPr>
                <w:rFonts w:ascii="Verdana" w:hAnsi="Verdana"/>
                <w:sz w:val="20"/>
                <w:szCs w:val="20"/>
              </w:rPr>
            </w:pPr>
            <w:r>
              <w:rPr>
                <w:rFonts w:cs="Arial" w:ascii="Verdana" w:hAnsi="Verdana"/>
                <w:sz w:val="20"/>
                <w:szCs w:val="20"/>
              </w:rPr>
              <w:t>Cargo: Assistente Administrativo</w:t>
            </w:r>
          </w:p>
          <w:p>
            <w:pPr>
              <w:pStyle w:val="Normal"/>
              <w:widowControl w:val="false"/>
              <w:bidi w:val="0"/>
              <w:spacing w:lineRule="auto" w:line="276" w:before="0" w:after="0"/>
              <w:ind w:left="0"/>
              <w:jc w:val="center"/>
              <w:rPr>
                <w:rFonts w:ascii="Verdana" w:hAnsi="Verdana"/>
                <w:sz w:val="20"/>
                <w:szCs w:val="20"/>
              </w:rPr>
            </w:pPr>
            <w:r>
              <w:rPr>
                <w:rFonts w:cs="Arial" w:ascii="Verdana" w:hAnsi="Verdana"/>
                <w:sz w:val="20"/>
                <w:szCs w:val="20"/>
              </w:rPr>
              <w:t>Matrícula nº 6048</w:t>
            </w:r>
          </w:p>
          <w:p>
            <w:pPr>
              <w:pStyle w:val="Normal"/>
              <w:widowControl w:val="false"/>
              <w:bidi w:val="0"/>
              <w:spacing w:lineRule="auto" w:line="276" w:before="0" w:after="0"/>
              <w:ind w:left="0"/>
              <w:jc w:val="center"/>
              <w:rPr>
                <w:rFonts w:ascii="Verdana" w:hAnsi="Verdana" w:cs="Arial"/>
                <w:b w:val="false"/>
                <w:bCs w:val="false"/>
                <w:i w:val="false"/>
                <w:i w:val="false"/>
                <w:iCs w:val="false"/>
                <w:strike w:val="false"/>
                <w:dstrike w:val="false"/>
                <w:outline w:val="false"/>
                <w:shadow w:val="false"/>
                <w:color w:val="000000"/>
                <w:sz w:val="20"/>
                <w:szCs w:val="20"/>
                <w:u w:val="none"/>
              </w:rPr>
            </w:pPr>
            <w:r>
              <w:rPr>
                <w:rFonts w:cs="Arial" w:ascii="Verdana" w:hAnsi="Verdana"/>
                <w:b w:val="false"/>
                <w:bCs w:val="false"/>
                <w:i w:val="false"/>
                <w:iCs w:val="false"/>
                <w:strike w:val="false"/>
                <w:dstrike w:val="false"/>
                <w:outline w:val="false"/>
                <w:shadow w:val="false"/>
                <w:color w:val="000000"/>
                <w:sz w:val="20"/>
                <w:szCs w:val="20"/>
                <w:u w:val="none"/>
              </w:rPr>
            </w:r>
          </w:p>
        </w:tc>
        <w:tc>
          <w:tcPr>
            <w:tcW w:w="5441" w:type="dxa"/>
            <w:tcBorders/>
          </w:tcPr>
          <w:p>
            <w:pPr>
              <w:pStyle w:val="Normal"/>
              <w:widowControl w:val="false"/>
              <w:tabs>
                <w:tab w:val="clear" w:pos="709"/>
                <w:tab w:val="left" w:pos="0" w:leader="none"/>
              </w:tabs>
              <w:suppressAutoHyphens w:val="true"/>
              <w:overflowPunct w:val="false"/>
              <w:bidi w:val="0"/>
              <w:spacing w:lineRule="auto" w:line="276" w:before="0" w:after="0"/>
              <w:ind w:hanging="0" w:left="0" w:right="0"/>
              <w:jc w:val="center"/>
              <w:rPr>
                <w:rFonts w:ascii="Verdana" w:hAnsi="Verdana"/>
                <w:sz w:val="20"/>
                <w:szCs w:val="20"/>
              </w:rPr>
            </w:pPr>
            <w:bookmarkStart w:id="0" w:name="_GoBack1"/>
            <w:bookmarkEnd w:id="0"/>
            <w:r>
              <w:rPr>
                <w:rFonts w:eastAsia="Arial" w:cs="Arial" w:ascii="Verdana" w:hAnsi="Verdana"/>
                <w:b w:val="false"/>
                <w:bCs w:val="false"/>
                <w:sz w:val="20"/>
                <w:szCs w:val="20"/>
              </w:rPr>
              <w:t xml:space="preserve">Secretária Municipal de Assistência Social – Interina </w:t>
            </w:r>
          </w:p>
          <w:p>
            <w:pPr>
              <w:pStyle w:val="Normal"/>
              <w:widowControl w:val="false"/>
              <w:tabs>
                <w:tab w:val="clear" w:pos="709"/>
                <w:tab w:val="left" w:pos="0" w:leader="none"/>
              </w:tabs>
              <w:suppressAutoHyphens w:val="true"/>
              <w:overflowPunct w:val="false"/>
              <w:bidi w:val="0"/>
              <w:spacing w:lineRule="auto" w:line="276" w:before="0" w:after="0"/>
              <w:ind w:hanging="0" w:left="0" w:right="0"/>
              <w:jc w:val="center"/>
              <w:rPr>
                <w:rFonts w:ascii="Verdana" w:hAnsi="Verdana"/>
                <w:sz w:val="20"/>
                <w:szCs w:val="20"/>
              </w:rPr>
            </w:pPr>
            <w:r>
              <w:rPr>
                <w:rFonts w:eastAsia="Arial" w:cs="Arial" w:ascii="Verdana" w:hAnsi="Verdana"/>
                <w:b w:val="false"/>
                <w:bCs w:val="false"/>
                <w:i w:val="false"/>
                <w:iCs w:val="false"/>
                <w:strike w:val="false"/>
                <w:dstrike w:val="false"/>
                <w:outline w:val="false"/>
                <w:shadow w:val="false"/>
                <w:color w:val="000000"/>
                <w:sz w:val="20"/>
                <w:szCs w:val="20"/>
                <w:u w:val="none"/>
              </w:rPr>
              <w:t xml:space="preserve">Decreto nº </w:t>
            </w:r>
            <w:r>
              <w:rPr>
                <w:rFonts w:eastAsia="Arial" w:cs="Arial" w:ascii="Verdana" w:hAnsi="Verdana"/>
                <w:b w:val="false"/>
                <w:bCs w:val="false"/>
                <w:i w:val="false"/>
                <w:iCs w:val="false"/>
                <w:strike w:val="false"/>
                <w:dstrike w:val="false"/>
                <w:outline w:val="false"/>
                <w:shadow w:val="false"/>
                <w:color w:val="000000"/>
                <w:sz w:val="20"/>
                <w:szCs w:val="20"/>
                <w:u w:val="none"/>
                <w:lang w:val="pt-BR" w:eastAsia="zh-CN" w:bidi="hi-IN"/>
              </w:rPr>
              <w:t>4.410/2024</w:t>
            </w:r>
          </w:p>
        </w:tc>
      </w:tr>
    </w:tbl>
    <w:p>
      <w:pPr>
        <w:pStyle w:val="Normal"/>
        <w:suppressAutoHyphens w:val="false"/>
        <w:bidi w:val="0"/>
        <w:spacing w:lineRule="auto" w:line="276" w:before="113" w:after="113"/>
        <w:ind w:left="0"/>
        <w:jc w:val="both"/>
        <w:rPr>
          <w:rFonts w:ascii="Verdana" w:hAnsi="Verdana" w:cs="Arial"/>
          <w:b/>
          <w:color w:val="0000FF"/>
          <w:sz w:val="20"/>
          <w:szCs w:val="20"/>
        </w:rPr>
      </w:pPr>
      <w:r>
        <w:rPr>
          <w:rFonts w:cs="Arial" w:ascii="Verdana" w:hAnsi="Verdana"/>
          <w:b/>
          <w:color w:val="0000FF"/>
          <w:sz w:val="20"/>
          <w:szCs w:val="20"/>
        </w:rPr>
      </w:r>
    </w:p>
    <w:sectPr>
      <w:headerReference w:type="even" r:id="rId3"/>
      <w:headerReference w:type="default" r:id="rId4"/>
      <w:headerReference w:type="first" r:id="rId5"/>
      <w:footerReference w:type="default" r:id="rId6"/>
      <w:type w:val="nextPage"/>
      <w:pgSz w:w="11906" w:h="16838"/>
      <w:pgMar w:left="1432" w:right="1010" w:gutter="0" w:header="567" w:top="1688" w:footer="567" w:bottom="95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Liberation Sans">
    <w:altName w:val="Arial"/>
    <w:charset w:val="00"/>
    <w:family w:val="roman"/>
    <w:pitch w:val="variable"/>
  </w:font>
  <w:font w:name="Verdana">
    <w:charset w:val="01"/>
    <w:family w:val="swiss"/>
    <w:pitch w:val="variable"/>
  </w:font>
  <w:font w:name="Verdana">
    <w:charset w:val="00"/>
    <w:family w:val="roman"/>
    <w:pitch w:val="variable"/>
  </w:font>
  <w:font w:name="Calibri">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bidi w:val="0"/>
      <w:jc w:val="center"/>
      <w:rPr/>
    </w:pPr>
    <w:r>
      <w:drawing>
        <wp:anchor behindDoc="0" distT="0" distB="0" distL="152400" distR="120015" simplePos="0" locked="0" layoutInCell="0" allowOverlap="1" relativeHeight="3">
          <wp:simplePos x="0" y="0"/>
          <wp:positionH relativeFrom="column">
            <wp:posOffset>146685</wp:posOffset>
          </wp:positionH>
          <wp:positionV relativeFrom="paragraph">
            <wp:posOffset>635</wp:posOffset>
          </wp:positionV>
          <wp:extent cx="644525" cy="542290"/>
          <wp:effectExtent l="0" t="0" r="0" b="0"/>
          <wp:wrapSquare wrapText="bothSides"/>
          <wp:docPr id="1" name="Figura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Copia 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 xml:space="preserve">Secretaria Municipal de </w:t>
    </w:r>
    <w:r>
      <w:rPr>
        <w:rFonts w:eastAsia="Times New Roman" w:cs="Arial Narrow" w:ascii="Arial Narrow" w:hAnsi="Arial Narrow"/>
        <w:b/>
        <w:color w:val="auto"/>
        <w:kern w:val="0"/>
        <w:sz w:val="22"/>
        <w:szCs w:val="22"/>
        <w:lang w:val="pt-BR" w:eastAsia="zh-CN" w:bidi="ar-SA"/>
      </w:rPr>
      <w:t>Assistência, Desenvolvimento Social e Família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bidi w:val="0"/>
      <w:jc w:val="center"/>
      <w:rPr/>
    </w:pPr>
    <w:r>
      <w:drawing>
        <wp:anchor behindDoc="0" distT="0" distB="0" distL="152400" distR="120015" simplePos="0" locked="0" layoutInCell="0" allowOverlap="1" relativeHeight="3">
          <wp:simplePos x="0" y="0"/>
          <wp:positionH relativeFrom="column">
            <wp:posOffset>146685</wp:posOffset>
          </wp:positionH>
          <wp:positionV relativeFrom="paragraph">
            <wp:posOffset>635</wp:posOffset>
          </wp:positionV>
          <wp:extent cx="644525" cy="542290"/>
          <wp:effectExtent l="0" t="0" r="0" b="0"/>
          <wp:wrapSquare wrapText="bothSides"/>
          <wp:docPr id="2" name="Figura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Copia 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 xml:space="preserve">Secretaria Municipal de </w:t>
    </w:r>
    <w:r>
      <w:rPr>
        <w:rFonts w:eastAsia="Times New Roman" w:cs="Arial Narrow" w:ascii="Arial Narrow" w:hAnsi="Arial Narrow"/>
        <w:b/>
        <w:color w:val="auto"/>
        <w:kern w:val="0"/>
        <w:sz w:val="22"/>
        <w:szCs w:val="22"/>
        <w:lang w:val="pt-BR" w:eastAsia="zh-CN" w:bidi="ar-SA"/>
      </w:rPr>
      <w:t>Assistência, Desenvolvimento Social e Família</w:t>
    </w:r>
  </w:p>
</w:hdr>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t-BR"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Heading3">
    <w:name w:val="Heading 3"/>
    <w:basedOn w:val="Ttulo"/>
    <w:next w:val="BodyText"/>
    <w:qFormat/>
    <w:pPr>
      <w:spacing w:before="140" w:after="120"/>
      <w:outlineLvl w:val="2"/>
    </w:pPr>
    <w:rPr>
      <w:rFonts w:ascii="Liberation Serif" w:hAnsi="Liberation Serif" w:eastAsia="NSimSun" w:cs="Lucida Sans"/>
      <w:b/>
      <w:bCs/>
      <w:sz w:val="28"/>
      <w:szCs w:val="28"/>
    </w:rPr>
  </w:style>
  <w:style w:type="paragraph" w:styleId="Heading4">
    <w:name w:val="Heading 4"/>
    <w:basedOn w:val="Ttulo"/>
    <w:next w:val="BodyText"/>
    <w:qFormat/>
    <w:pPr>
      <w:spacing w:before="120" w:after="120"/>
      <w:outlineLvl w:val="3"/>
    </w:pPr>
    <w:rPr>
      <w:rFonts w:ascii="Liberation Serif" w:hAnsi="Liberation Serif" w:eastAsia="NSimSun" w:cs="Lucida Sans"/>
      <w:b/>
      <w:bCs/>
      <w:sz w:val="24"/>
      <w:szCs w:val="24"/>
    </w:rPr>
  </w:style>
  <w:style w:type="character" w:styleId="Hyperlink">
    <w:name w:val="Hyperlink"/>
    <w:rPr>
      <w:color w:val="0000FF"/>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360"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CorpodotextoMsoFooter">
    <w:name w:val="Corpo do texto.MsoFooter"/>
    <w:basedOn w:val="BodyText"/>
    <w:qFormat/>
    <w:pPr>
      <w:spacing w:before="0" w:after="0"/>
      <w:ind w:hanging="0" w:right="0"/>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Cabealhoerodap1">
    <w:name w:val="Cabeçalho e rodapé1"/>
    <w:basedOn w:val="Normal"/>
    <w:qFormat/>
    <w:pPr/>
    <w:rPr/>
  </w:style>
  <w:style w:type="paragraph" w:styleId="Header">
    <w:name w:val="Header"/>
    <w:basedOn w:val="CabealhoeRodap"/>
    <w:pPr>
      <w:suppressLineNumbers/>
    </w:pPr>
    <w:rPr/>
  </w:style>
  <w:style w:type="paragraph" w:styleId="Footer">
    <w:name w:val="Footer"/>
    <w:basedOn w:val="Cabealhoerodap1"/>
    <w:pPr>
      <w:suppressLineNumbers/>
      <w:tabs>
        <w:tab w:val="clear" w:pos="709"/>
        <w:tab w:val="center" w:pos="4732" w:leader="none"/>
        <w:tab w:val="right" w:pos="9464"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catalogo.compras.gov.br/"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26</TotalTime>
  <Application>LibreOffice/24.2.6.2$Windows_X86_64 LibreOffice_project/ef66aa7e36a1bb8e65bfbc63aba53045a14d0871</Application>
  <AppVersion>15.0000</AppVersion>
  <Pages>11</Pages>
  <Words>4096</Words>
  <Characters>21574</Characters>
  <CharactersWithSpaces>24943</CharactersWithSpaces>
  <Paragraphs>776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2024-09-12T12:55:21Z</cp:lastPrinted>
  <dcterms:modified xsi:type="dcterms:W3CDTF">2024-11-22T08:53:49Z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